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BA" w:rsidRPr="002923D1" w:rsidRDefault="00DF0BBA" w:rsidP="002923D1">
      <w:pPr>
        <w:spacing w:after="40" w:line="360" w:lineRule="auto"/>
        <w:ind w:left="10" w:right="3" w:hanging="10"/>
        <w:jc w:val="center"/>
        <w:rPr>
          <w:b/>
        </w:rPr>
      </w:pPr>
      <w:r w:rsidRPr="002923D1">
        <w:rPr>
          <w:b/>
        </w:rPr>
        <w:t xml:space="preserve">Quel </w:t>
      </w:r>
      <w:r w:rsidR="00E22BFF" w:rsidRPr="002923D1">
        <w:rPr>
          <w:b/>
        </w:rPr>
        <w:t xml:space="preserve">est le meilleur </w:t>
      </w:r>
      <w:r w:rsidRPr="002923D1">
        <w:rPr>
          <w:b/>
        </w:rPr>
        <w:t>système de taxation des produits du tabac pour les f</w:t>
      </w:r>
      <w:r w:rsidR="000B2E38" w:rsidRPr="002923D1">
        <w:rPr>
          <w:b/>
        </w:rPr>
        <w:t xml:space="preserve">inances </w:t>
      </w:r>
    </w:p>
    <w:p w:rsidR="00023790" w:rsidRPr="002923D1" w:rsidRDefault="000B2E38" w:rsidP="002923D1">
      <w:pPr>
        <w:spacing w:after="717" w:line="360" w:lineRule="auto"/>
        <w:ind w:left="10" w:right="4" w:hanging="10"/>
        <w:jc w:val="center"/>
      </w:pPr>
      <w:bookmarkStart w:id="0" w:name="_GoBack"/>
      <w:bookmarkEnd w:id="0"/>
      <w:r w:rsidRPr="002923D1">
        <w:rPr>
          <w:b/>
        </w:rPr>
        <w:t>a</w:t>
      </w:r>
      <w:r w:rsidR="00DF0BBA" w:rsidRPr="002923D1">
        <w:rPr>
          <w:b/>
        </w:rPr>
        <w:t>u Sénégal et au Nigé</w:t>
      </w:r>
      <w:r w:rsidRPr="002923D1">
        <w:rPr>
          <w:b/>
        </w:rPr>
        <w:t>ria</w:t>
      </w:r>
      <w:r w:rsidR="005D1D62" w:rsidRPr="002923D1">
        <w:rPr>
          <w:b/>
        </w:rPr>
        <w:t> ?</w:t>
      </w:r>
    </w:p>
    <w:p w:rsidR="00DF0BBA" w:rsidRPr="002923D1" w:rsidRDefault="000B2E38" w:rsidP="002923D1">
      <w:pPr>
        <w:spacing w:line="360" w:lineRule="auto"/>
        <w:ind w:left="-17" w:right="0" w:firstLine="329"/>
      </w:pPr>
      <w:r w:rsidRPr="002923D1">
        <w:t>L’utilisation des taxes d’accise – ad va</w:t>
      </w:r>
      <w:r w:rsidR="00DF0BBA" w:rsidRPr="002923D1">
        <w:t>lorem et spécifiques – pour ré</w:t>
      </w:r>
      <w:r w:rsidRPr="002923D1">
        <w:t>duire la</w:t>
      </w:r>
      <w:r w:rsidR="00181EDD" w:rsidRPr="002923D1">
        <w:t xml:space="preserve"> consommation de cigarettes est</w:t>
      </w:r>
      <w:r w:rsidR="00DF0BBA" w:rsidRPr="002923D1">
        <w:t xml:space="preserve"> </w:t>
      </w:r>
      <w:r w:rsidR="00E22BFF" w:rsidRPr="002923D1">
        <w:t xml:space="preserve">relativement récente </w:t>
      </w:r>
      <w:r w:rsidR="00DF0BBA" w:rsidRPr="002923D1">
        <w:t>dans beaucoup de pays en développement. Il existe néanmoins</w:t>
      </w:r>
      <w:r w:rsidRPr="002923D1">
        <w:t xml:space="preserve"> suffisamme</w:t>
      </w:r>
      <w:r w:rsidR="00DF0BBA" w:rsidRPr="002923D1">
        <w:t>nt d’exemples empiriques pour té</w:t>
      </w:r>
      <w:r w:rsidRPr="002923D1">
        <w:t>moigner de l’utilisation de ce genre d</w:t>
      </w:r>
      <w:r w:rsidR="00DF0BBA" w:rsidRPr="002923D1">
        <w:t>e taxes par des gouvernements à</w:t>
      </w:r>
      <w:r w:rsidRPr="002923D1">
        <w:t xml:space="preserve"> travers le monde pour augmenter les recettes fiscales. La plupart du temps, c</w:t>
      </w:r>
      <w:r w:rsidR="00DF0BBA" w:rsidRPr="002923D1">
        <w:t>es revenus fiscaux sont utilisés afin de financer le système de santé</w:t>
      </w:r>
      <w:r w:rsidRPr="002923D1">
        <w:t xml:space="preserve"> ains</w:t>
      </w:r>
      <w:r w:rsidR="00DF0BBA" w:rsidRPr="002923D1">
        <w:t>i que d’autres programmes</w:t>
      </w:r>
      <w:r w:rsidRPr="002923D1">
        <w:t xml:space="preserve">. </w:t>
      </w:r>
      <w:r w:rsidR="00DF0BBA" w:rsidRPr="002923D1">
        <w:t xml:space="preserve">Pour les </w:t>
      </w:r>
      <w:r w:rsidR="00E22BFF" w:rsidRPr="002923D1">
        <w:t xml:space="preserve">gouvernements des </w:t>
      </w:r>
      <w:r w:rsidR="00DF0BBA" w:rsidRPr="002923D1">
        <w:t xml:space="preserve">pays en développement, la taxation du tabac représente </w:t>
      </w:r>
      <w:r w:rsidR="00E22BFF" w:rsidRPr="002923D1">
        <w:t xml:space="preserve">en </w:t>
      </w:r>
      <w:r w:rsidR="00DF0BBA" w:rsidRPr="002923D1">
        <w:t>outre un outil important pour améliorer l’Etat de</w:t>
      </w:r>
      <w:r w:rsidR="00E22BFF" w:rsidRPr="002923D1">
        <w:t>s</w:t>
      </w:r>
      <w:r w:rsidR="00DF0BBA" w:rsidRPr="002923D1">
        <w:t xml:space="preserve"> finance</w:t>
      </w:r>
      <w:r w:rsidR="00E22BFF" w:rsidRPr="002923D1">
        <w:t>s</w:t>
      </w:r>
      <w:r w:rsidR="00DF0BBA" w:rsidRPr="002923D1">
        <w:t xml:space="preserve"> publique</w:t>
      </w:r>
      <w:r w:rsidR="00E22BFF" w:rsidRPr="002923D1">
        <w:t>s</w:t>
      </w:r>
      <w:r w:rsidR="00DF0BBA" w:rsidRPr="002923D1">
        <w:t xml:space="preserve">. En effet, étant donné que les taxes sont toujours relativement modestes dans la plupart de ces pays, et que la demande pour les produits du tabac y est souvent peu sensible aux prix, beaucoup de gouvernements peuvent significativement accroître leurs revenus en augmentant les taxes sur </w:t>
      </w:r>
      <w:r w:rsidR="00E22BFF" w:rsidRPr="002923D1">
        <w:t>ce produit</w:t>
      </w:r>
      <w:r w:rsidR="00DF0BBA" w:rsidRPr="002923D1">
        <w:t xml:space="preserve">. Cependant, </w:t>
      </w:r>
      <w:r w:rsidR="00E22BFF" w:rsidRPr="002923D1">
        <w:t>c</w:t>
      </w:r>
      <w:r w:rsidR="00DF0BBA" w:rsidRPr="002923D1">
        <w:t xml:space="preserve">es gouvernements </w:t>
      </w:r>
      <w:r w:rsidR="00FB55FB" w:rsidRPr="002923D1">
        <w:t xml:space="preserve">hésitent à </w:t>
      </w:r>
      <w:r w:rsidR="00E22BFF" w:rsidRPr="002923D1">
        <w:t xml:space="preserve">procéder à de telles </w:t>
      </w:r>
      <w:r w:rsidR="00FB55FB" w:rsidRPr="002923D1">
        <w:t>augment</w:t>
      </w:r>
      <w:r w:rsidR="00E22BFF" w:rsidRPr="002923D1">
        <w:t>ations</w:t>
      </w:r>
      <w:r w:rsidR="00FB55FB" w:rsidRPr="002923D1">
        <w:t xml:space="preserve"> de façon continue </w:t>
      </w:r>
      <w:r w:rsidR="00E22BFF" w:rsidRPr="002923D1">
        <w:t xml:space="preserve">par crainte de </w:t>
      </w:r>
      <w:r w:rsidR="00FB55FB" w:rsidRPr="002923D1">
        <w:t xml:space="preserve">leurs impacts réels sur les finances publiques. </w:t>
      </w:r>
    </w:p>
    <w:p w:rsidR="005D1D62" w:rsidRPr="002923D1" w:rsidRDefault="000B2E38" w:rsidP="002923D1">
      <w:pPr>
        <w:spacing w:after="40" w:line="360" w:lineRule="auto"/>
        <w:ind w:left="10" w:right="3" w:hanging="10"/>
      </w:pPr>
      <w:r w:rsidRPr="002923D1">
        <w:t xml:space="preserve">En </w:t>
      </w:r>
      <w:r w:rsidR="00FB55FB" w:rsidRPr="002923D1">
        <w:t>utilisant les donné</w:t>
      </w:r>
      <w:r w:rsidRPr="002923D1">
        <w:t xml:space="preserve">es du GATS (Global Adult </w:t>
      </w:r>
      <w:r w:rsidR="00FB55FB" w:rsidRPr="002923D1">
        <w:t xml:space="preserve">Tobacco Survey), cette étude </w:t>
      </w:r>
      <w:r w:rsidR="00E22BFF" w:rsidRPr="002923D1">
        <w:t>« </w:t>
      </w:r>
      <w:r w:rsidR="00181EDD" w:rsidRPr="002923D1">
        <w:t xml:space="preserve">Finances Publiques et Taxation du Tabac en </w:t>
      </w:r>
      <w:r w:rsidR="00181EDD" w:rsidRPr="002923D1">
        <w:t>Présence</w:t>
      </w:r>
      <w:r w:rsidR="00181EDD" w:rsidRPr="002923D1">
        <w:t xml:space="preserve"> de </w:t>
      </w:r>
      <w:r w:rsidR="00181EDD" w:rsidRPr="002923D1">
        <w:t>Variétés</w:t>
      </w:r>
      <w:r w:rsidR="00181EDD" w:rsidRPr="002923D1">
        <w:t xml:space="preserve"> de Marques :</w:t>
      </w:r>
      <w:r w:rsidR="00181EDD" w:rsidRPr="002923D1">
        <w:t xml:space="preserve"> Théorie et Application au Séné</w:t>
      </w:r>
      <w:r w:rsidR="00181EDD" w:rsidRPr="002923D1">
        <w:t xml:space="preserve">gal et au </w:t>
      </w:r>
      <w:r w:rsidR="00181EDD" w:rsidRPr="002923D1">
        <w:t>Nigeria</w:t>
      </w:r>
      <w:r w:rsidR="00E22BFF" w:rsidRPr="002923D1">
        <w:t xml:space="preserve"> » </w:t>
      </w:r>
      <w:r w:rsidR="00FB55FB" w:rsidRPr="002923D1">
        <w:t xml:space="preserve">du CRES </w:t>
      </w:r>
      <w:r w:rsidR="00E22BFF" w:rsidRPr="002923D1">
        <w:t xml:space="preserve">a </w:t>
      </w:r>
      <w:r w:rsidR="00FB55FB" w:rsidRPr="002923D1">
        <w:t>cherch</w:t>
      </w:r>
      <w:r w:rsidR="00E22BFF" w:rsidRPr="002923D1">
        <w:t>é</w:t>
      </w:r>
      <w:r w:rsidR="00FB55FB" w:rsidRPr="002923D1">
        <w:t xml:space="preserve"> à déterminer </w:t>
      </w:r>
      <w:r w:rsidRPr="002923D1">
        <w:t xml:space="preserve">l’impact sur le prix, sur la demande de cigarettes, ainsi que sur les recettes fiscales, d’une augmentation des taxes </w:t>
      </w:r>
      <w:r w:rsidR="00FB55FB" w:rsidRPr="002923D1">
        <w:t>d’accise</w:t>
      </w:r>
      <w:r w:rsidR="00FD2BC1" w:rsidRPr="002923D1">
        <w:t xml:space="preserve"> en présence de plusieurs variétés de cigarettes</w:t>
      </w:r>
      <w:r w:rsidR="00FB55FB" w:rsidRPr="002923D1">
        <w:t>, pour le Sénégal et le Nigéria</w:t>
      </w:r>
      <w:r w:rsidRPr="002923D1">
        <w:t xml:space="preserve">. </w:t>
      </w:r>
      <w:r w:rsidR="00FD2BC1" w:rsidRPr="002923D1">
        <w:t xml:space="preserve">Un modèle théorique tenant compte de la variété des marques de cigarettes a d’abord été développé pour mesurer les effets des hausses de taxe sur les prix. Par la </w:t>
      </w:r>
      <w:r w:rsidR="002923D1" w:rsidRPr="002923D1">
        <w:t>suite, un</w:t>
      </w:r>
      <w:r w:rsidR="00FD2BC1" w:rsidRPr="002923D1">
        <w:t xml:space="preserve"> modèle de simulation a été utilisé pour connaître l’impact des hausses de prix </w:t>
      </w:r>
      <w:r w:rsidR="005D1D62" w:rsidRPr="002923D1">
        <w:t xml:space="preserve">dues à la taxe </w:t>
      </w:r>
      <w:r w:rsidR="00FD2BC1" w:rsidRPr="002923D1">
        <w:t>sur</w:t>
      </w:r>
      <w:r w:rsidR="005D1D62" w:rsidRPr="002923D1">
        <w:t xml:space="preserve"> les finances publiques. </w:t>
      </w:r>
      <w:r w:rsidR="00FD2BC1" w:rsidRPr="002923D1">
        <w:t xml:space="preserve"> </w:t>
      </w:r>
    </w:p>
    <w:p w:rsidR="00FD2BC1" w:rsidRPr="002923D1" w:rsidRDefault="005D1D62" w:rsidP="002923D1">
      <w:pPr>
        <w:spacing w:after="417" w:line="360" w:lineRule="auto"/>
        <w:ind w:right="0" w:firstLine="0"/>
      </w:pPr>
      <w:r w:rsidRPr="002923D1">
        <w:t>Les ré</w:t>
      </w:r>
      <w:r w:rsidR="000B2E38" w:rsidRPr="002923D1">
        <w:t xml:space="preserve">sultats </w:t>
      </w:r>
      <w:r w:rsidRPr="002923D1">
        <w:t xml:space="preserve">montrent tout d’abord que </w:t>
      </w:r>
      <w:r w:rsidR="00CF6277" w:rsidRPr="002923D1">
        <w:t xml:space="preserve">pour le Sénégal, </w:t>
      </w:r>
      <w:r w:rsidRPr="002923D1">
        <w:t>les taxes d’accise spécifiques sont mieux adaptées, tandis que</w:t>
      </w:r>
      <w:r w:rsidR="00CF6277" w:rsidRPr="002923D1">
        <w:t xml:space="preserve"> pour le Nigéria</w:t>
      </w:r>
      <w:r w:rsidR="00181EDD" w:rsidRPr="002923D1">
        <w:t>,</w:t>
      </w:r>
      <w:r w:rsidR="00CF6277" w:rsidRPr="002923D1">
        <w:t xml:space="preserve"> ce sont</w:t>
      </w:r>
      <w:r w:rsidRPr="002923D1">
        <w:t xml:space="preserve"> les taxes d’accise ad valorem </w:t>
      </w:r>
      <w:r w:rsidR="00CF6277" w:rsidRPr="002923D1">
        <w:t xml:space="preserve">qui sont les </w:t>
      </w:r>
      <w:r w:rsidRPr="002923D1">
        <w:t>mieux adaptées. Ce</w:t>
      </w:r>
      <w:r w:rsidR="00E22BFF" w:rsidRPr="002923D1">
        <w:t>s</w:t>
      </w:r>
      <w:r w:rsidRPr="002923D1">
        <w:t xml:space="preserve"> résultat</w:t>
      </w:r>
      <w:r w:rsidR="00E22BFF" w:rsidRPr="002923D1">
        <w:t>s sont intéressants</w:t>
      </w:r>
      <w:r w:rsidRPr="002923D1">
        <w:t xml:space="preserve"> dans la mesure o</w:t>
      </w:r>
      <w:r w:rsidR="00E22BFF" w:rsidRPr="002923D1">
        <w:t>ù</w:t>
      </w:r>
      <w:r w:rsidRPr="002923D1">
        <w:t xml:space="preserve"> les taxes d’accise au Sénégal et au Nigéria sont exclusivement ad valorem. Il ressort aussi que le développement fiscal n’a pas les mêmes implications pour ces deux pays. Augmenter les taxes d’accise sur le tabac au Sénégal réduit fortement sa demande, mais aussi entraine une baisse des recettes fiscales d’accise, tandis que cela induirait une baisse moins substantielle de la demande au Nigéria néanmoins accompagnée d’une hausse des recettes fiscales. Cette différence découle en grande partie du fait que la demande est plus sensible aux augmentation</w:t>
      </w:r>
      <w:r w:rsidR="00E22BFF" w:rsidRPr="002923D1">
        <w:t>s</w:t>
      </w:r>
      <w:r w:rsidRPr="002923D1">
        <w:t xml:space="preserve"> de prix au Sénégal qu’au Nigéria. Finalement, il est important de noter aussi qu’il existe un seuil au-delà duquel les augmentations des taxes n’ont plus d’effets positifs sur les recettes fiscales au Nigéria. </w:t>
      </w:r>
    </w:p>
    <w:p w:rsidR="00906D14" w:rsidRPr="002923D1" w:rsidRDefault="005D1D62" w:rsidP="002923D1">
      <w:pPr>
        <w:spacing w:line="360" w:lineRule="auto"/>
        <w:ind w:left="-15" w:right="0"/>
      </w:pPr>
      <w:r w:rsidRPr="002923D1">
        <w:t>Ainsi, il ressort de cette étude qu’il est important</w:t>
      </w:r>
      <w:r w:rsidR="00906D14" w:rsidRPr="002923D1">
        <w:t> :</w:t>
      </w:r>
    </w:p>
    <w:p w:rsidR="00FD2BC1" w:rsidRPr="002923D1" w:rsidRDefault="00181EDD" w:rsidP="002923D1">
      <w:pPr>
        <w:pStyle w:val="Paragraphedeliste"/>
        <w:numPr>
          <w:ilvl w:val="0"/>
          <w:numId w:val="2"/>
        </w:numPr>
        <w:spacing w:line="360" w:lineRule="auto"/>
        <w:ind w:right="0"/>
      </w:pPr>
      <w:r w:rsidRPr="002923D1">
        <w:lastRenderedPageBreak/>
        <w:t>D’associer</w:t>
      </w:r>
      <w:r w:rsidR="005D1D62" w:rsidRPr="002923D1">
        <w:t xml:space="preserve"> une taxe spécifique à la taxe ad valorem pour une fiscalité plus appropriée</w:t>
      </w:r>
      <w:r w:rsidR="00906D14" w:rsidRPr="002923D1">
        <w:t xml:space="preserve"> pour le Sénégal et le Nigéria</w:t>
      </w:r>
      <w:r w:rsidR="001A3031" w:rsidRPr="002923D1">
        <w:t> ;</w:t>
      </w:r>
      <w:r w:rsidR="005D1D62" w:rsidRPr="002923D1">
        <w:t xml:space="preserve"> </w:t>
      </w:r>
    </w:p>
    <w:p w:rsidR="00906D14" w:rsidRPr="002923D1" w:rsidRDefault="00181EDD" w:rsidP="002923D1">
      <w:pPr>
        <w:pStyle w:val="Paragraphedeliste"/>
        <w:numPr>
          <w:ilvl w:val="0"/>
          <w:numId w:val="2"/>
        </w:numPr>
        <w:spacing w:line="360" w:lineRule="auto"/>
        <w:ind w:right="0"/>
      </w:pPr>
      <w:r w:rsidRPr="002923D1">
        <w:t>De</w:t>
      </w:r>
      <w:r w:rsidR="00906D14" w:rsidRPr="002923D1">
        <w:t xml:space="preserve"> mettre en place une politique de taxation différenciée : en fonction de la localisation géographique au Sénégal et en fonction de la tranche d’âge au Nig</w:t>
      </w:r>
      <w:r w:rsidR="001A3031" w:rsidRPr="002923D1">
        <w:t>é</w:t>
      </w:r>
      <w:r w:rsidR="00906D14" w:rsidRPr="002923D1">
        <w:t>ria.</w:t>
      </w:r>
    </w:p>
    <w:p w:rsidR="00023790" w:rsidRPr="002923D1" w:rsidRDefault="00023790" w:rsidP="002923D1">
      <w:pPr>
        <w:spacing w:line="360" w:lineRule="auto"/>
        <w:ind w:left="-15" w:right="0" w:firstLine="0"/>
      </w:pPr>
    </w:p>
    <w:sectPr w:rsidR="00023790" w:rsidRPr="002923D1">
      <w:footerReference w:type="even" r:id="rId7"/>
      <w:footerReference w:type="default" r:id="rId8"/>
      <w:footerReference w:type="first" r:id="rId9"/>
      <w:pgSz w:w="11900" w:h="16840"/>
      <w:pgMar w:top="1266" w:right="1238" w:bottom="1193" w:left="1248" w:header="720" w:footer="5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28" w:rsidRDefault="00AD3F28">
      <w:pPr>
        <w:spacing w:after="0" w:line="240" w:lineRule="auto"/>
      </w:pPr>
      <w:r>
        <w:separator/>
      </w:r>
    </w:p>
  </w:endnote>
  <w:endnote w:type="continuationSeparator" w:id="0">
    <w:p w:rsidR="00AD3F28" w:rsidRDefault="00AD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0" w:rsidRDefault="000B2E38">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0" w:rsidRDefault="000B2E38">
    <w:pPr>
      <w:spacing w:after="0" w:line="259" w:lineRule="auto"/>
      <w:ind w:firstLine="0"/>
      <w:jc w:val="center"/>
    </w:pPr>
    <w:r>
      <w:fldChar w:fldCharType="begin"/>
    </w:r>
    <w:r>
      <w:instrText xml:space="preserve"> PAGE   \* MERGEFORMAT </w:instrText>
    </w:r>
    <w:r>
      <w:fldChar w:fldCharType="separate"/>
    </w:r>
    <w:r w:rsidR="002923D1">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0" w:rsidRDefault="000B2E38">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28" w:rsidRDefault="00AD3F28">
      <w:pPr>
        <w:spacing w:after="0" w:line="240" w:lineRule="auto"/>
      </w:pPr>
      <w:r>
        <w:separator/>
      </w:r>
    </w:p>
  </w:footnote>
  <w:footnote w:type="continuationSeparator" w:id="0">
    <w:p w:rsidR="00AD3F28" w:rsidRDefault="00AD3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A09"/>
    <w:multiLevelType w:val="hybridMultilevel"/>
    <w:tmpl w:val="7756A484"/>
    <w:lvl w:ilvl="0" w:tplc="6B62066A">
      <w:numFmt w:val="bullet"/>
      <w:lvlText w:val="-"/>
      <w:lvlJc w:val="left"/>
      <w:pPr>
        <w:ind w:left="718" w:hanging="360"/>
      </w:pPr>
      <w:rPr>
        <w:rFonts w:ascii="Cambria" w:eastAsia="Cambria" w:hAnsi="Cambria" w:cs="Cambria"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15:restartNumberingAfterBreak="0">
    <w:nsid w:val="2FA15F25"/>
    <w:multiLevelType w:val="hybridMultilevel"/>
    <w:tmpl w:val="A1D0359E"/>
    <w:lvl w:ilvl="0" w:tplc="4A04E690">
      <w:start w:val="1"/>
      <w:numFmt w:val="lowerRoman"/>
      <w:lvlText w:val="(%1)"/>
      <w:lvlJc w:val="left"/>
      <w:pPr>
        <w:ind w:left="665"/>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AA2E217E">
      <w:start w:val="1"/>
      <w:numFmt w:val="lowerLetter"/>
      <w:lvlText w:val="%2"/>
      <w:lvlJc w:val="left"/>
      <w:pPr>
        <w:ind w:left="1418"/>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59649FA">
      <w:start w:val="1"/>
      <w:numFmt w:val="lowerRoman"/>
      <w:lvlText w:val="%3"/>
      <w:lvlJc w:val="left"/>
      <w:pPr>
        <w:ind w:left="2138"/>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F30D29E">
      <w:start w:val="1"/>
      <w:numFmt w:val="decimal"/>
      <w:lvlText w:val="%4"/>
      <w:lvlJc w:val="left"/>
      <w:pPr>
        <w:ind w:left="2858"/>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57C00D4">
      <w:start w:val="1"/>
      <w:numFmt w:val="lowerLetter"/>
      <w:lvlText w:val="%5"/>
      <w:lvlJc w:val="left"/>
      <w:pPr>
        <w:ind w:left="3578"/>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31E58F4">
      <w:start w:val="1"/>
      <w:numFmt w:val="lowerRoman"/>
      <w:lvlText w:val="%6"/>
      <w:lvlJc w:val="left"/>
      <w:pPr>
        <w:ind w:left="4298"/>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3DC065E">
      <w:start w:val="1"/>
      <w:numFmt w:val="decimal"/>
      <w:lvlText w:val="%7"/>
      <w:lvlJc w:val="left"/>
      <w:pPr>
        <w:ind w:left="5018"/>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CA23D48">
      <w:start w:val="1"/>
      <w:numFmt w:val="lowerLetter"/>
      <w:lvlText w:val="%8"/>
      <w:lvlJc w:val="left"/>
      <w:pPr>
        <w:ind w:left="5738"/>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80188DAA">
      <w:start w:val="1"/>
      <w:numFmt w:val="lowerRoman"/>
      <w:lvlText w:val="%9"/>
      <w:lvlJc w:val="left"/>
      <w:pPr>
        <w:ind w:left="6458"/>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90"/>
    <w:rsid w:val="00023790"/>
    <w:rsid w:val="000B2E38"/>
    <w:rsid w:val="00181EDD"/>
    <w:rsid w:val="001A3031"/>
    <w:rsid w:val="002923D1"/>
    <w:rsid w:val="004C1C7D"/>
    <w:rsid w:val="005D1D62"/>
    <w:rsid w:val="00906D14"/>
    <w:rsid w:val="00AD3F28"/>
    <w:rsid w:val="00CF6277"/>
    <w:rsid w:val="00DF0BBA"/>
    <w:rsid w:val="00E22BFF"/>
    <w:rsid w:val="00FB55FB"/>
    <w:rsid w:val="00FD2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A9E8"/>
  <w15:docId w15:val="{2906C03A-0E7B-4248-A2D5-4921D512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05" w:lineRule="auto"/>
      <w:ind w:right="2" w:firstLine="328"/>
      <w:jc w:val="both"/>
    </w:pPr>
    <w:rPr>
      <w:rFonts w:ascii="Cambria" w:eastAsia="Cambria" w:hAnsi="Cambria" w:cs="Cambria"/>
      <w:color w:val="181717"/>
    </w:rPr>
  </w:style>
  <w:style w:type="paragraph" w:styleId="Titre1">
    <w:name w:val="heading 1"/>
    <w:next w:val="Normal"/>
    <w:link w:val="Titre1Car"/>
    <w:uiPriority w:val="9"/>
    <w:unhideWhenUsed/>
    <w:qFormat/>
    <w:pPr>
      <w:keepNext/>
      <w:keepLines/>
      <w:spacing w:after="175"/>
      <w:ind w:left="10" w:hanging="10"/>
      <w:outlineLvl w:val="0"/>
    </w:pPr>
    <w:rPr>
      <w:rFonts w:ascii="Cambria" w:eastAsia="Cambria" w:hAnsi="Cambria" w:cs="Cambria"/>
      <w:b/>
      <w:color w:val="181717"/>
      <w:sz w:val="29"/>
    </w:rPr>
  </w:style>
  <w:style w:type="paragraph" w:styleId="Titre2">
    <w:name w:val="heading 2"/>
    <w:next w:val="Normal"/>
    <w:link w:val="Titre2Car"/>
    <w:uiPriority w:val="9"/>
    <w:unhideWhenUsed/>
    <w:qFormat/>
    <w:pPr>
      <w:keepNext/>
      <w:keepLines/>
      <w:spacing w:after="175"/>
      <w:ind w:left="10" w:hanging="10"/>
      <w:outlineLvl w:val="1"/>
    </w:pPr>
    <w:rPr>
      <w:rFonts w:ascii="Cambria" w:eastAsia="Cambria" w:hAnsi="Cambria" w:cs="Cambria"/>
      <w:b/>
      <w:color w:val="181717"/>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mbria" w:eastAsia="Cambria" w:hAnsi="Cambria" w:cs="Cambria"/>
      <w:b/>
      <w:color w:val="181717"/>
      <w:sz w:val="24"/>
    </w:rPr>
  </w:style>
  <w:style w:type="character" w:customStyle="1" w:styleId="Titre1Car">
    <w:name w:val="Titre 1 Car"/>
    <w:link w:val="Titre1"/>
    <w:rPr>
      <w:rFonts w:ascii="Cambria" w:eastAsia="Cambria" w:hAnsi="Cambria" w:cs="Cambria"/>
      <w:b/>
      <w:color w:val="181717"/>
      <w:sz w:val="29"/>
    </w:rPr>
  </w:style>
  <w:style w:type="paragraph" w:styleId="Paragraphedeliste">
    <w:name w:val="List Paragraph"/>
    <w:basedOn w:val="Normal"/>
    <w:uiPriority w:val="34"/>
    <w:qFormat/>
    <w:rsid w:val="0090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dcterms:created xsi:type="dcterms:W3CDTF">2020-04-23T09:19:00Z</dcterms:created>
  <dcterms:modified xsi:type="dcterms:W3CDTF">2020-04-23T09:19:00Z</dcterms:modified>
</cp:coreProperties>
</file>