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9D" w:rsidRPr="00E8229B" w:rsidRDefault="0025479D" w:rsidP="00997C68">
      <w:pPr>
        <w:pStyle w:val="Default"/>
        <w:sectPr w:rsidR="0025479D" w:rsidRPr="00E8229B" w:rsidSect="008B51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479D" w:rsidRDefault="0025479D" w:rsidP="00997C68">
      <w:pPr>
        <w:pStyle w:val="Default"/>
        <w:rPr>
          <w:b/>
        </w:rPr>
      </w:pPr>
    </w:p>
    <w:p w:rsidR="0025479D" w:rsidRDefault="00C13710" w:rsidP="001E3C56">
      <w:pPr>
        <w:autoSpaceDE w:val="0"/>
        <w:autoSpaceDN w:val="0"/>
        <w:adjustRightInd w:val="0"/>
        <w:spacing w:after="0" w:line="240" w:lineRule="atLeast"/>
        <w:rPr>
          <w:b/>
        </w:rPr>
      </w:pPr>
      <w:r>
        <w:rPr>
          <w:b/>
        </w:rPr>
        <w:t xml:space="preserve">PEUT-ON ARRIVER A UN NIVEAU DE </w:t>
      </w:r>
      <w:r w:rsidR="00B9229B">
        <w:rPr>
          <w:b/>
        </w:rPr>
        <w:t xml:space="preserve">75% </w:t>
      </w:r>
      <w:r>
        <w:rPr>
          <w:b/>
        </w:rPr>
        <w:t xml:space="preserve">DE TAXES SUR LE </w:t>
      </w:r>
      <w:r w:rsidR="00B9229B">
        <w:rPr>
          <w:b/>
        </w:rPr>
        <w:t xml:space="preserve">PRIX DE VENTE DES CIGARETTES </w:t>
      </w:r>
      <w:r>
        <w:rPr>
          <w:b/>
        </w:rPr>
        <w:t xml:space="preserve">DANS LES PAYS MEMBRES DE </w:t>
      </w:r>
      <w:r w:rsidRPr="006F6016">
        <w:rPr>
          <w:b/>
        </w:rPr>
        <w:t>LA CEDEAO</w:t>
      </w:r>
      <w:r>
        <w:rPr>
          <w:b/>
        </w:rPr>
        <w:t> ?</w:t>
      </w:r>
    </w:p>
    <w:p w:rsidR="0025479D" w:rsidRDefault="0025479D" w:rsidP="00997C68">
      <w:pPr>
        <w:pStyle w:val="Default"/>
        <w:rPr>
          <w:b/>
        </w:rPr>
      </w:pPr>
    </w:p>
    <w:p w:rsidR="004A2A2D" w:rsidRDefault="004A2A2D" w:rsidP="00997C68">
      <w:pPr>
        <w:pStyle w:val="Default"/>
        <w:rPr>
          <w:b/>
        </w:rPr>
      </w:pPr>
    </w:p>
    <w:p w:rsidR="00B9229B" w:rsidRDefault="00650B96" w:rsidP="00B9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fiscalité est considérée comme le moyen le plus efficace pour </w:t>
      </w:r>
      <w:r w:rsidR="0025479D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réduire </w:t>
      </w:r>
      <w:r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consommation des produits du tabac. 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L’</w:t>
      </w:r>
      <w:r w:rsidR="0025479D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rganisation mondiale de la </w:t>
      </w:r>
      <w:r w:rsidR="0025479D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anté</w:t>
      </w:r>
      <w:r w:rsidR="0025479D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(OMS)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préconise</w:t>
      </w:r>
      <w:r w:rsidR="009E2D3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, pour une politique fiscale efficace sur ces produits, que l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es taxes</w:t>
      </w:r>
      <w:r w:rsidR="00257A67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d’accise</w:t>
      </w:r>
      <w:r w:rsidR="00B95F9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C13710">
        <w:rPr>
          <w:rFonts w:ascii="Times New Roman" w:hAnsi="Times New Roman" w:cs="Times New Roman"/>
          <w:iCs/>
          <w:color w:val="000000"/>
          <w:sz w:val="24"/>
          <w:szCs w:val="24"/>
        </w:rPr>
        <w:t>soient portées à</w:t>
      </w:r>
      <w:r w:rsidR="00C1371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au moins 7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5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% d</w:t>
      </w:r>
      <w:r w:rsidR="00C13710">
        <w:rPr>
          <w:rFonts w:ascii="Times New Roman" w:hAnsi="Times New Roman" w:cs="Times New Roman"/>
          <w:iCs/>
          <w:color w:val="000000"/>
          <w:sz w:val="24"/>
          <w:szCs w:val="24"/>
        </w:rPr>
        <w:t>e leur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prix de vente. </w:t>
      </w:r>
      <w:r w:rsidR="005804D4">
        <w:rPr>
          <w:rFonts w:ascii="Times New Roman" w:hAnsi="Times New Roman" w:cs="Times New Roman"/>
          <w:iCs/>
          <w:color w:val="000000"/>
          <w:sz w:val="24"/>
          <w:szCs w:val="24"/>
        </w:rPr>
        <w:t>A noter que l</w:t>
      </w:r>
      <w:r w:rsidR="00257A67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’ensemble des 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taxes </w:t>
      </w:r>
      <w:r w:rsidR="00C137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appliquées </w:t>
      </w:r>
      <w:r w:rsidR="00F114C3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dans le prix de vente </w:t>
      </w:r>
      <w:r w:rsidR="00C137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ces produits </w:t>
      </w:r>
      <w:r w:rsidR="009E2D3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n’attei</w:t>
      </w:r>
      <w:r w:rsidR="001E3C56">
        <w:rPr>
          <w:rFonts w:ascii="Times New Roman" w:hAnsi="Times New Roman" w:cs="Times New Roman"/>
          <w:iCs/>
          <w:color w:val="000000"/>
          <w:sz w:val="24"/>
          <w:szCs w:val="24"/>
        </w:rPr>
        <w:t>nt</w:t>
      </w:r>
      <w:r w:rsidR="009E2D3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pas 40%.  Des hausses substantielles pourraient leur permettre d’accroître sensiblement ce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9E2D3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part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5804D4" w:rsidRPr="005804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804D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de taxes</w:t>
      </w:r>
      <w:r w:rsidR="009E2D34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 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nouvelle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directive de la CEDEAO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adopté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e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en décembre 2017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prévoit, dans ce sens, un ens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>emble de mesure</w:t>
      </w:r>
      <w:r w:rsidR="005804D4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dont une hausse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taxe</w:t>
      </w:r>
      <w:r w:rsidR="00277F18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 </w:t>
      </w:r>
      <w:r w:rsidR="005804D4">
        <w:rPr>
          <w:rFonts w:ascii="Times New Roman" w:hAnsi="Times New Roman" w:cs="Times New Roman"/>
          <w:iCs/>
          <w:color w:val="000000"/>
          <w:sz w:val="24"/>
          <w:szCs w:val="24"/>
        </w:rPr>
        <w:t>soumise à un mécanisme d’</w:t>
      </w:r>
      <w:r w:rsidR="00277F18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augmentation </w:t>
      </w:r>
      <w:r w:rsidR="005804D4">
        <w:rPr>
          <w:rFonts w:ascii="Times New Roman" w:hAnsi="Times New Roman" w:cs="Times New Roman"/>
          <w:iCs/>
          <w:color w:val="000000"/>
          <w:sz w:val="24"/>
          <w:szCs w:val="24"/>
        </w:rPr>
        <w:t>progressive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5804D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avec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l’introduction d’un</w:t>
      </w:r>
      <w:r w:rsidR="00277F18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droit d’accise spécifique et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la suppression du plafond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sur les taux à appliquer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 </w:t>
      </w:r>
      <w:r w:rsidR="0024336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Cependant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4336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chaque pays a</w:t>
      </w:r>
      <w:r w:rsidR="005D5F9A">
        <w:rPr>
          <w:rFonts w:ascii="Times New Roman" w:hAnsi="Times New Roman" w:cs="Times New Roman"/>
          <w:iCs/>
          <w:color w:val="000000"/>
          <w:sz w:val="24"/>
          <w:szCs w:val="24"/>
        </w:rPr>
        <w:t>yant</w:t>
      </w:r>
      <w:r w:rsidR="0024336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 niveau </w:t>
      </w:r>
      <w:r w:rsidR="0014791E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maximal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24336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de recettes fiscales qu’il peut collecter compte tenu de s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0E759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richesse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E759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son niveau de taxation</w:t>
      </w:r>
      <w:r w:rsidR="0068784F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="000E759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 l’efficacité de son administration</w:t>
      </w:r>
      <w:r w:rsidR="0005533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="0024336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et </w:t>
      </w:r>
      <w:r w:rsidR="00B95F9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 sa stabilité </w:t>
      </w:r>
      <w:r w:rsidR="003A4870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politique</w:t>
      </w:r>
      <w:r w:rsidR="005D5F9A">
        <w:rPr>
          <w:rFonts w:ascii="Times New Roman" w:hAnsi="Times New Roman" w:cs="Times New Roman"/>
          <w:iCs/>
          <w:color w:val="000000"/>
          <w:sz w:val="24"/>
          <w:szCs w:val="24"/>
        </w:rPr>
        <w:t>, s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 </w:t>
      </w:r>
      <w:r w:rsidR="005D5F9A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es taxes permettent de collecter des recettes fiscales assez proches du niveau maximal 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>possible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sa 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politique </w:t>
      </w:r>
      <w:r w:rsidR="001E3C56">
        <w:rPr>
          <w:rFonts w:ascii="Times New Roman" w:hAnsi="Times New Roman" w:cs="Times New Roman"/>
          <w:iCs/>
          <w:color w:val="000000"/>
          <w:sz w:val="24"/>
          <w:szCs w:val="24"/>
        </w:rPr>
        <w:t>de lutte</w:t>
      </w:r>
      <w:r w:rsidR="008014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anti-tabac </w:t>
      </w:r>
      <w:r w:rsidR="008E3BE2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>evrait</w:t>
      </w:r>
      <w:r w:rsidR="008E3BE2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être principalement orientée vers les mesures non fiscales et une amélioration de la productivité de l’administration fiscale. En revanche, si un pays est loin de sa capacité fiscale, ses 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>stratégies</w:t>
      </w:r>
      <w:r w:rsidR="008E3BE2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>evrai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ent être orientées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principalement vers l’augmentation substantielle des taxes.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C’est dans le but d’éclairer cette définition des pr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>iorités dans la lutte antitabac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dans les pays 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>de la CEDEAO que le CRES a mené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9229B">
        <w:rPr>
          <w:rFonts w:ascii="Times New Roman" w:hAnsi="Times New Roman" w:cs="Times New Roman"/>
          <w:iCs/>
          <w:color w:val="000000"/>
          <w:sz w:val="24"/>
          <w:szCs w:val="24"/>
        </w:rPr>
        <w:t>cette</w:t>
      </w:r>
      <w:r w:rsidR="00B9229B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recherche intitulée</w:t>
      </w:r>
      <w:r w:rsidR="001E3C5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 </w:t>
      </w:r>
      <w:r w:rsidR="001E3C56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Efficacité des systèmes de taxation des produits du tabac dans les pays membres de   la </w:t>
      </w:r>
      <w:bookmarkStart w:id="0" w:name="_GoBack"/>
      <w:bookmarkEnd w:id="0"/>
      <w:r w:rsidR="001E3C56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>CEDEAO :</w:t>
      </w:r>
      <w:r w:rsidR="001E3C56" w:rsidRPr="008D155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une approche par la frontière fiscale</w:t>
      </w:r>
      <w:r w:rsidR="008E3BE2">
        <w:rPr>
          <w:rFonts w:ascii="Times New Roman" w:hAnsi="Times New Roman" w:cs="Times New Roman"/>
          <w:iCs/>
          <w:color w:val="000000"/>
          <w:sz w:val="24"/>
          <w:szCs w:val="24"/>
        </w:rPr>
        <w:t> »</w:t>
      </w:r>
    </w:p>
    <w:p w:rsidR="00B9229B" w:rsidRPr="00F14084" w:rsidRDefault="00B9229B" w:rsidP="00B92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14084">
        <w:rPr>
          <w:rFonts w:ascii="Times New Roman" w:hAnsi="Times New Roman" w:cs="Times New Roman"/>
          <w:iCs/>
          <w:color w:val="000000"/>
          <w:sz w:val="24"/>
          <w:szCs w:val="24"/>
        </w:rPr>
        <w:t>La méthode dite de frontière fiscale a été utilisée. Elle consiste à déterminer</w:t>
      </w:r>
      <w:r w:rsidR="00F14084" w:rsidRPr="00F140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la</w:t>
      </w:r>
      <w:r w:rsidRPr="00F1408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F14084">
        <w:rPr>
          <w:rFonts w:ascii="Times New Roman" w:hAnsi="Times New Roman" w:cs="Times New Roman"/>
          <w:iCs/>
          <w:sz w:val="24"/>
          <w:szCs w:val="24"/>
        </w:rPr>
        <w:t>capacité fiscale</w:t>
      </w:r>
      <w:r w:rsidR="00F14084" w:rsidRPr="00F14084">
        <w:rPr>
          <w:rFonts w:ascii="Times New Roman" w:hAnsi="Times New Roman" w:cs="Times New Roman"/>
          <w:iCs/>
          <w:sz w:val="24"/>
          <w:szCs w:val="24"/>
        </w:rPr>
        <w:t xml:space="preserve"> du pays défini</w:t>
      </w:r>
      <w:r w:rsidR="008E3BE2">
        <w:rPr>
          <w:rFonts w:ascii="Times New Roman" w:hAnsi="Times New Roman" w:cs="Times New Roman"/>
          <w:iCs/>
          <w:sz w:val="24"/>
          <w:szCs w:val="24"/>
        </w:rPr>
        <w:t>e</w:t>
      </w:r>
      <w:r w:rsidR="00F14084" w:rsidRPr="00F14084">
        <w:rPr>
          <w:rFonts w:ascii="Times New Roman" w:hAnsi="Times New Roman" w:cs="Times New Roman"/>
          <w:iCs/>
          <w:sz w:val="24"/>
          <w:szCs w:val="24"/>
        </w:rPr>
        <w:t xml:space="preserve"> comme étant le maximum de recettes que peut collecter le pays compte tenu de ses caractéristiques économiques, sociales, institutionnelles et démographiques et</w:t>
      </w:r>
      <w:r w:rsidR="008E3BE2">
        <w:rPr>
          <w:rFonts w:ascii="Times New Roman" w:hAnsi="Times New Roman" w:cs="Times New Roman"/>
          <w:iCs/>
          <w:sz w:val="24"/>
          <w:szCs w:val="24"/>
        </w:rPr>
        <w:t xml:space="preserve"> à</w:t>
      </w:r>
      <w:r w:rsidR="00F14084" w:rsidRPr="00F14084">
        <w:rPr>
          <w:rFonts w:ascii="Times New Roman" w:hAnsi="Times New Roman" w:cs="Times New Roman"/>
          <w:iCs/>
          <w:sz w:val="24"/>
          <w:szCs w:val="24"/>
        </w:rPr>
        <w:t xml:space="preserve"> comparer </w:t>
      </w:r>
      <w:r w:rsidR="008E3BE2">
        <w:rPr>
          <w:rFonts w:ascii="Times New Roman" w:hAnsi="Times New Roman" w:cs="Times New Roman"/>
          <w:iCs/>
          <w:sz w:val="24"/>
          <w:szCs w:val="24"/>
        </w:rPr>
        <w:t>s</w:t>
      </w:r>
      <w:r w:rsidR="00F14084" w:rsidRPr="00F14084">
        <w:rPr>
          <w:rFonts w:ascii="Times New Roman" w:hAnsi="Times New Roman" w:cs="Times New Roman"/>
          <w:iCs/>
          <w:sz w:val="24"/>
          <w:szCs w:val="24"/>
        </w:rPr>
        <w:t>a situation actuelle avec cette capacité maximale. L’écart entre les deux correspond à l’inefficacité du système.</w:t>
      </w:r>
    </w:p>
    <w:p w:rsidR="009877E8" w:rsidRDefault="009877E8" w:rsidP="00F14084">
      <w:pPr>
        <w:pStyle w:val="Default"/>
        <w:jc w:val="both"/>
        <w:rPr>
          <w:iCs/>
        </w:rPr>
      </w:pPr>
      <w:r>
        <w:rPr>
          <w:iCs/>
        </w:rPr>
        <w:t xml:space="preserve">Les données proviennent de différentes sources : </w:t>
      </w:r>
      <w:r w:rsidR="008E3BE2">
        <w:rPr>
          <w:iCs/>
        </w:rPr>
        <w:t xml:space="preserve">les </w:t>
      </w:r>
      <w:r>
        <w:rPr>
          <w:iCs/>
        </w:rPr>
        <w:t>enquête CRES auprès des administrations fiscales des 15 pays de la CEDEAO</w:t>
      </w:r>
      <w:r w:rsidR="0068784F">
        <w:rPr>
          <w:iCs/>
        </w:rPr>
        <w:t>,</w:t>
      </w:r>
      <w:r w:rsidR="00F14084">
        <w:rPr>
          <w:iCs/>
        </w:rPr>
        <w:t xml:space="preserve"> </w:t>
      </w:r>
      <w:r w:rsidR="008E3BE2">
        <w:rPr>
          <w:iCs/>
        </w:rPr>
        <w:t xml:space="preserve">les </w:t>
      </w:r>
      <w:r w:rsidR="00682E93">
        <w:rPr>
          <w:iCs/>
        </w:rPr>
        <w:t>bases de données de l’</w:t>
      </w:r>
      <w:r>
        <w:rPr>
          <w:iCs/>
        </w:rPr>
        <w:t xml:space="preserve">OMS, </w:t>
      </w:r>
      <w:r w:rsidR="00682E93">
        <w:rPr>
          <w:iCs/>
        </w:rPr>
        <w:t>de l’</w:t>
      </w:r>
      <w:r>
        <w:rPr>
          <w:iCs/>
        </w:rPr>
        <w:t xml:space="preserve">université de Sherbrooke et </w:t>
      </w:r>
      <w:r w:rsidR="00682E93">
        <w:rPr>
          <w:iCs/>
        </w:rPr>
        <w:t xml:space="preserve">de la </w:t>
      </w:r>
      <w:r>
        <w:rPr>
          <w:iCs/>
        </w:rPr>
        <w:t>Banque mondiale</w:t>
      </w:r>
      <w:r w:rsidR="0077270F">
        <w:rPr>
          <w:iCs/>
        </w:rPr>
        <w:t>.</w:t>
      </w:r>
    </w:p>
    <w:p w:rsidR="008D25CE" w:rsidRDefault="008D25CE" w:rsidP="00997C68">
      <w:pPr>
        <w:pStyle w:val="Default"/>
        <w:rPr>
          <w:b/>
        </w:rPr>
      </w:pPr>
    </w:p>
    <w:p w:rsidR="00287354" w:rsidRPr="0032487E" w:rsidRDefault="00287354" w:rsidP="0032487E">
      <w:pPr>
        <w:pStyle w:val="Default"/>
        <w:rPr>
          <w:b/>
        </w:rPr>
        <w:sectPr w:rsidR="00287354" w:rsidRPr="0032487E" w:rsidSect="004A2A2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76957" w:rsidRDefault="00F14084" w:rsidP="00F1408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4084">
        <w:rPr>
          <w:rFonts w:ascii="Times New Roman" w:hAnsi="Times New Roman" w:cs="Times New Roman"/>
          <w:bCs/>
          <w:color w:val="000000"/>
          <w:sz w:val="23"/>
          <w:szCs w:val="23"/>
        </w:rPr>
        <w:lastRenderedPageBreak/>
        <w:t>Les résultats montrent que l</w:t>
      </w:r>
      <w:r w:rsidR="00850A08" w:rsidRPr="00F14084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parts de taxes d’accise effective dans le prix de vente des cigarettes sont très faibles 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loin de la recommandation de 75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% de l’OMS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La Gambie 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 xml:space="preserve">est 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le seul pays qui a son prix de vente des cigarettes composé de 30% de taxes. En dehors de la Gambie, seul le Sénégal atteint 25% de taxes dans le prix. </w:t>
      </w:r>
      <w:r w:rsidR="007F78E0">
        <w:rPr>
          <w:rFonts w:ascii="Times New Roman" w:hAnsi="Times New Roman" w:cs="Times New Roman"/>
          <w:color w:val="000000"/>
          <w:sz w:val="24"/>
          <w:szCs w:val="24"/>
        </w:rPr>
        <w:t>La situation est plus inquiétante pour le Bénin, la Guinée</w:t>
      </w:r>
      <w:r w:rsidR="00920EF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78E0">
        <w:rPr>
          <w:rFonts w:ascii="Times New Roman" w:hAnsi="Times New Roman" w:cs="Times New Roman"/>
          <w:color w:val="000000"/>
          <w:sz w:val="24"/>
          <w:szCs w:val="24"/>
        </w:rPr>
        <w:t xml:space="preserve">Bissau et le Togo qui n’ont que moins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10% 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>de taxe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dans le</w:t>
      </w:r>
      <w:r w:rsidR="007F78E0">
        <w:rPr>
          <w:rFonts w:ascii="Times New Roman" w:hAnsi="Times New Roman" w:cs="Times New Roman"/>
          <w:color w:val="000000"/>
          <w:sz w:val="24"/>
          <w:szCs w:val="24"/>
        </w:rPr>
        <w:t xml:space="preserve"> prix de vente. 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Si on examine les pays potentiellement 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 xml:space="preserve">capables 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>d’atteindre l’objectif de 75% de l’OMS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on constate que </w:t>
      </w:r>
      <w:r w:rsidR="00850A08" w:rsidRPr="007C1A4B">
        <w:rPr>
          <w:rFonts w:ascii="Times New Roman" w:hAnsi="Times New Roman" w:cs="Times New Roman"/>
          <w:color w:val="000000"/>
          <w:sz w:val="24"/>
          <w:szCs w:val="24"/>
        </w:rPr>
        <w:t xml:space="preserve">seuls le Cap-Vert, le Bénin et le Ghana </w:t>
      </w:r>
      <w:r w:rsidR="001E3C56">
        <w:rPr>
          <w:rFonts w:ascii="Times New Roman" w:hAnsi="Times New Roman" w:cs="Times New Roman"/>
          <w:color w:val="000000"/>
          <w:sz w:val="24"/>
          <w:szCs w:val="24"/>
        </w:rPr>
        <w:t>peuvent réalis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1E3C56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8E3BE2">
        <w:rPr>
          <w:rFonts w:ascii="Times New Roman" w:hAnsi="Times New Roman" w:cs="Times New Roman"/>
          <w:color w:val="000000"/>
          <w:sz w:val="24"/>
          <w:szCs w:val="24"/>
        </w:rPr>
        <w:t xml:space="preserve"> cette performance</w:t>
      </w:r>
      <w:r w:rsidR="00850A08" w:rsidRPr="007C1A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92F2C">
        <w:rPr>
          <w:rFonts w:ascii="Times New Roman" w:hAnsi="Times New Roman" w:cs="Times New Roman"/>
          <w:color w:val="000000"/>
          <w:sz w:val="24"/>
          <w:szCs w:val="24"/>
        </w:rPr>
        <w:t>Les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capacité</w:t>
      </w:r>
      <w:r w:rsidR="00992F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maximale</w:t>
      </w:r>
      <w:r w:rsidR="00992F2C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50A08">
        <w:rPr>
          <w:rFonts w:ascii="Times New Roman" w:hAnsi="Times New Roman" w:cs="Times New Roman"/>
          <w:color w:val="000000"/>
          <w:sz w:val="24"/>
          <w:szCs w:val="24"/>
        </w:rPr>
        <w:t xml:space="preserve"> de ces pays sont respectivement 77%, 74% et 70%.  </w:t>
      </w:r>
      <w:r w:rsidR="00850A08" w:rsidRPr="007C1A4B">
        <w:rPr>
          <w:rFonts w:ascii="Times New Roman" w:hAnsi="Times New Roman" w:cs="Times New Roman"/>
          <w:color w:val="000000"/>
          <w:sz w:val="24"/>
          <w:szCs w:val="24"/>
        </w:rPr>
        <w:t xml:space="preserve">Néanmoins, la plupart des pays de la sous-région ont une capacité maximale de part de taxes dans le prix de vente au moins supérieure à 60%. </w:t>
      </w:r>
    </w:p>
    <w:p w:rsidR="0091643F" w:rsidRPr="00F14084" w:rsidRDefault="00F14084" w:rsidP="00801440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Ainsi, les</w:t>
      </w:r>
      <w:r w:rsidR="0091643F">
        <w:rPr>
          <w:bCs/>
          <w:sz w:val="23"/>
          <w:szCs w:val="23"/>
        </w:rPr>
        <w:t xml:space="preserve"> priorité</w:t>
      </w:r>
      <w:r>
        <w:rPr>
          <w:bCs/>
          <w:sz w:val="23"/>
          <w:szCs w:val="23"/>
        </w:rPr>
        <w:t>s dans la lutte antitabac dans l</w:t>
      </w:r>
      <w:r w:rsidR="0091643F">
        <w:rPr>
          <w:bCs/>
          <w:sz w:val="23"/>
          <w:szCs w:val="23"/>
        </w:rPr>
        <w:t xml:space="preserve">es pays </w:t>
      </w:r>
      <w:r>
        <w:rPr>
          <w:bCs/>
          <w:sz w:val="23"/>
          <w:szCs w:val="23"/>
        </w:rPr>
        <w:t xml:space="preserve">de la CEDEAO sont : (1) </w:t>
      </w:r>
      <w:r w:rsidR="0091643F">
        <w:rPr>
          <w:bCs/>
          <w:sz w:val="23"/>
          <w:szCs w:val="23"/>
        </w:rPr>
        <w:t>l’augmentation continue des taxes</w:t>
      </w:r>
      <w:r w:rsidR="008E3BE2">
        <w:rPr>
          <w:bCs/>
          <w:sz w:val="23"/>
          <w:szCs w:val="23"/>
        </w:rPr>
        <w:t> ;</w:t>
      </w:r>
      <w:r>
        <w:rPr>
          <w:bCs/>
          <w:sz w:val="23"/>
          <w:szCs w:val="23"/>
        </w:rPr>
        <w:t xml:space="preserve"> (2) </w:t>
      </w:r>
      <w:r w:rsidR="008E3BE2">
        <w:rPr>
          <w:bCs/>
          <w:sz w:val="23"/>
          <w:szCs w:val="23"/>
        </w:rPr>
        <w:t>l’</w:t>
      </w:r>
      <w:r>
        <w:rPr>
          <w:bCs/>
          <w:sz w:val="23"/>
          <w:szCs w:val="23"/>
        </w:rPr>
        <w:t>augment</w:t>
      </w:r>
      <w:r w:rsidR="008E3BE2">
        <w:rPr>
          <w:bCs/>
          <w:sz w:val="23"/>
          <w:szCs w:val="23"/>
        </w:rPr>
        <w:t>ation de</w:t>
      </w:r>
      <w:r>
        <w:rPr>
          <w:bCs/>
          <w:sz w:val="23"/>
          <w:szCs w:val="23"/>
        </w:rPr>
        <w:t xml:space="preserve"> la capacité maximale en améliorant la fiscalité par </w:t>
      </w:r>
      <w:r>
        <w:t xml:space="preserve">association de la taxe spécifique </w:t>
      </w:r>
      <w:r w:rsidR="008E3BE2">
        <w:t xml:space="preserve">et de </w:t>
      </w:r>
      <w:r>
        <w:t>la taxe ad valorem</w:t>
      </w:r>
      <w:r w:rsidR="008E3BE2">
        <w:t>,</w:t>
      </w:r>
      <w:r>
        <w:t xml:space="preserve"> et l’adoption du prix hors TVA comme base de taxation ad valorem.</w:t>
      </w:r>
    </w:p>
    <w:p w:rsidR="00FA2AD4" w:rsidRPr="00A970EB" w:rsidRDefault="00FA2AD4" w:rsidP="00A970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FA2AD4" w:rsidRPr="00A970EB" w:rsidSect="004A2A2D">
      <w:type w:val="continuous"/>
      <w:pgSz w:w="11906" w:h="16838"/>
      <w:pgMar w:top="1417" w:right="1417" w:bottom="1417" w:left="1417" w:header="708" w:footer="708" w:gutter="0"/>
      <w:cols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0A4" w:rsidRPr="00E8229B" w:rsidRDefault="003820A4" w:rsidP="00E8229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3820A4" w:rsidRPr="00E8229B" w:rsidRDefault="003820A4" w:rsidP="00E8229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Arial Unicode MS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0A4" w:rsidRPr="00E8229B" w:rsidRDefault="003820A4" w:rsidP="00E8229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3820A4" w:rsidRPr="00E8229B" w:rsidRDefault="003820A4" w:rsidP="00E8229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2A9"/>
    <w:multiLevelType w:val="hybridMultilevel"/>
    <w:tmpl w:val="530C58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13548"/>
    <w:multiLevelType w:val="hybridMultilevel"/>
    <w:tmpl w:val="787EF644"/>
    <w:lvl w:ilvl="0" w:tplc="51B03CE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3974"/>
    <w:multiLevelType w:val="hybridMultilevel"/>
    <w:tmpl w:val="E9C23D22"/>
    <w:lvl w:ilvl="0" w:tplc="819CDE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24867"/>
    <w:multiLevelType w:val="hybridMultilevel"/>
    <w:tmpl w:val="0660CF00"/>
    <w:lvl w:ilvl="0" w:tplc="94248F46">
      <w:start w:val="1"/>
      <w:numFmt w:val="decimal"/>
      <w:lvlText w:val="(%1)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8A31D8"/>
    <w:multiLevelType w:val="hybridMultilevel"/>
    <w:tmpl w:val="7448919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B10FF0"/>
    <w:multiLevelType w:val="hybridMultilevel"/>
    <w:tmpl w:val="15A47D76"/>
    <w:lvl w:ilvl="0" w:tplc="B5CCCC8E">
      <w:start w:val="2"/>
      <w:numFmt w:val="bullet"/>
      <w:lvlText w:val="-"/>
      <w:lvlJc w:val="left"/>
      <w:pPr>
        <w:ind w:left="1080" w:hanging="360"/>
      </w:pPr>
      <w:rPr>
        <w:rFonts w:ascii="CMR12" w:eastAsiaTheme="minorHAnsi" w:hAnsi="CMR12" w:cs="CMR12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23"/>
    <w:rsid w:val="00000522"/>
    <w:rsid w:val="00014851"/>
    <w:rsid w:val="00040C6B"/>
    <w:rsid w:val="00044AB1"/>
    <w:rsid w:val="00052942"/>
    <w:rsid w:val="0005533B"/>
    <w:rsid w:val="00073337"/>
    <w:rsid w:val="000812B7"/>
    <w:rsid w:val="000C1A26"/>
    <w:rsid w:val="000D52C8"/>
    <w:rsid w:val="000D7F96"/>
    <w:rsid w:val="000E71F8"/>
    <w:rsid w:val="000E7590"/>
    <w:rsid w:val="001226D2"/>
    <w:rsid w:val="001259AC"/>
    <w:rsid w:val="0014791E"/>
    <w:rsid w:val="0018634D"/>
    <w:rsid w:val="001A7C1F"/>
    <w:rsid w:val="001B5F17"/>
    <w:rsid w:val="001E3C56"/>
    <w:rsid w:val="001E6150"/>
    <w:rsid w:val="001F6D66"/>
    <w:rsid w:val="00201180"/>
    <w:rsid w:val="00202E26"/>
    <w:rsid w:val="0020469A"/>
    <w:rsid w:val="00233BAF"/>
    <w:rsid w:val="002367E4"/>
    <w:rsid w:val="00240E8A"/>
    <w:rsid w:val="00243360"/>
    <w:rsid w:val="00245F46"/>
    <w:rsid w:val="00251887"/>
    <w:rsid w:val="0025479D"/>
    <w:rsid w:val="00257A67"/>
    <w:rsid w:val="002618A3"/>
    <w:rsid w:val="00270884"/>
    <w:rsid w:val="00275541"/>
    <w:rsid w:val="00277F18"/>
    <w:rsid w:val="00280256"/>
    <w:rsid w:val="00287354"/>
    <w:rsid w:val="002912D3"/>
    <w:rsid w:val="00294ECD"/>
    <w:rsid w:val="002B26BB"/>
    <w:rsid w:val="002C328A"/>
    <w:rsid w:val="002F1FEB"/>
    <w:rsid w:val="00305DBB"/>
    <w:rsid w:val="00315150"/>
    <w:rsid w:val="0032487E"/>
    <w:rsid w:val="00327B37"/>
    <w:rsid w:val="0035091B"/>
    <w:rsid w:val="00374530"/>
    <w:rsid w:val="003820A4"/>
    <w:rsid w:val="00385779"/>
    <w:rsid w:val="0039456D"/>
    <w:rsid w:val="00395EDC"/>
    <w:rsid w:val="003A4870"/>
    <w:rsid w:val="004015D7"/>
    <w:rsid w:val="0044009C"/>
    <w:rsid w:val="00472E18"/>
    <w:rsid w:val="00494281"/>
    <w:rsid w:val="004975CC"/>
    <w:rsid w:val="004A2A2D"/>
    <w:rsid w:val="004A39AC"/>
    <w:rsid w:val="004B323A"/>
    <w:rsid w:val="004C0F64"/>
    <w:rsid w:val="004C5CE4"/>
    <w:rsid w:val="00520662"/>
    <w:rsid w:val="00526A8A"/>
    <w:rsid w:val="00555A5E"/>
    <w:rsid w:val="00555EC5"/>
    <w:rsid w:val="005804D4"/>
    <w:rsid w:val="00591CBE"/>
    <w:rsid w:val="00592BF1"/>
    <w:rsid w:val="00597E6D"/>
    <w:rsid w:val="005A544F"/>
    <w:rsid w:val="005D5F9A"/>
    <w:rsid w:val="005E02AB"/>
    <w:rsid w:val="005E70FE"/>
    <w:rsid w:val="005E7557"/>
    <w:rsid w:val="005F0E20"/>
    <w:rsid w:val="005F5326"/>
    <w:rsid w:val="00613EBE"/>
    <w:rsid w:val="00630F00"/>
    <w:rsid w:val="006361E8"/>
    <w:rsid w:val="00636BBC"/>
    <w:rsid w:val="006413BF"/>
    <w:rsid w:val="00650B96"/>
    <w:rsid w:val="00652597"/>
    <w:rsid w:val="0065398E"/>
    <w:rsid w:val="00662B52"/>
    <w:rsid w:val="00667C12"/>
    <w:rsid w:val="00671029"/>
    <w:rsid w:val="00675490"/>
    <w:rsid w:val="00682E93"/>
    <w:rsid w:val="0068784F"/>
    <w:rsid w:val="006922A0"/>
    <w:rsid w:val="00697E3E"/>
    <w:rsid w:val="006A0E29"/>
    <w:rsid w:val="006B0DF6"/>
    <w:rsid w:val="006C374D"/>
    <w:rsid w:val="006C7291"/>
    <w:rsid w:val="006D0647"/>
    <w:rsid w:val="006D1F0D"/>
    <w:rsid w:val="006D49F3"/>
    <w:rsid w:val="006E07C1"/>
    <w:rsid w:val="006F1607"/>
    <w:rsid w:val="006F213B"/>
    <w:rsid w:val="006F6016"/>
    <w:rsid w:val="007042BC"/>
    <w:rsid w:val="00714FE5"/>
    <w:rsid w:val="00715623"/>
    <w:rsid w:val="0077270F"/>
    <w:rsid w:val="0079080E"/>
    <w:rsid w:val="007C1A4B"/>
    <w:rsid w:val="007E3955"/>
    <w:rsid w:val="007E39BB"/>
    <w:rsid w:val="007E659F"/>
    <w:rsid w:val="007E664B"/>
    <w:rsid w:val="007F3A6E"/>
    <w:rsid w:val="007F4575"/>
    <w:rsid w:val="007F78E0"/>
    <w:rsid w:val="00801440"/>
    <w:rsid w:val="008023A9"/>
    <w:rsid w:val="0083173B"/>
    <w:rsid w:val="00850A08"/>
    <w:rsid w:val="00866E10"/>
    <w:rsid w:val="008A2DBA"/>
    <w:rsid w:val="008A79F1"/>
    <w:rsid w:val="008B51AE"/>
    <w:rsid w:val="008C2546"/>
    <w:rsid w:val="008D1555"/>
    <w:rsid w:val="008D25CE"/>
    <w:rsid w:val="008E3B7F"/>
    <w:rsid w:val="008E3BE2"/>
    <w:rsid w:val="00905ADF"/>
    <w:rsid w:val="00910D60"/>
    <w:rsid w:val="00912847"/>
    <w:rsid w:val="0091643F"/>
    <w:rsid w:val="00920EF1"/>
    <w:rsid w:val="00942A3B"/>
    <w:rsid w:val="00947839"/>
    <w:rsid w:val="00965A82"/>
    <w:rsid w:val="00967BE3"/>
    <w:rsid w:val="009877E8"/>
    <w:rsid w:val="00992F2C"/>
    <w:rsid w:val="00997C68"/>
    <w:rsid w:val="009C31AB"/>
    <w:rsid w:val="009E2D34"/>
    <w:rsid w:val="009E6118"/>
    <w:rsid w:val="009F3592"/>
    <w:rsid w:val="00A12D0E"/>
    <w:rsid w:val="00A37358"/>
    <w:rsid w:val="00A52E5C"/>
    <w:rsid w:val="00A735AE"/>
    <w:rsid w:val="00A8054D"/>
    <w:rsid w:val="00A91059"/>
    <w:rsid w:val="00A926AC"/>
    <w:rsid w:val="00A970EB"/>
    <w:rsid w:val="00AA1D25"/>
    <w:rsid w:val="00AC139A"/>
    <w:rsid w:val="00AE3A45"/>
    <w:rsid w:val="00AF1F77"/>
    <w:rsid w:val="00B02396"/>
    <w:rsid w:val="00B11EC6"/>
    <w:rsid w:val="00B22F24"/>
    <w:rsid w:val="00B40967"/>
    <w:rsid w:val="00B853B9"/>
    <w:rsid w:val="00B9229B"/>
    <w:rsid w:val="00B95F90"/>
    <w:rsid w:val="00BB2659"/>
    <w:rsid w:val="00BB5E4F"/>
    <w:rsid w:val="00C02935"/>
    <w:rsid w:val="00C13710"/>
    <w:rsid w:val="00C21E5A"/>
    <w:rsid w:val="00C373C8"/>
    <w:rsid w:val="00C575F1"/>
    <w:rsid w:val="00C67A28"/>
    <w:rsid w:val="00C879AA"/>
    <w:rsid w:val="00CA1D68"/>
    <w:rsid w:val="00CC3C22"/>
    <w:rsid w:val="00D06FCC"/>
    <w:rsid w:val="00D12ED0"/>
    <w:rsid w:val="00D1718D"/>
    <w:rsid w:val="00D20FF1"/>
    <w:rsid w:val="00D26F41"/>
    <w:rsid w:val="00D35BB0"/>
    <w:rsid w:val="00D40DAD"/>
    <w:rsid w:val="00D4269E"/>
    <w:rsid w:val="00D43C4E"/>
    <w:rsid w:val="00D43F5B"/>
    <w:rsid w:val="00D450F9"/>
    <w:rsid w:val="00D472B4"/>
    <w:rsid w:val="00D65A13"/>
    <w:rsid w:val="00D67EA5"/>
    <w:rsid w:val="00D75225"/>
    <w:rsid w:val="00D76957"/>
    <w:rsid w:val="00D8394C"/>
    <w:rsid w:val="00DC2DD6"/>
    <w:rsid w:val="00DC3DC1"/>
    <w:rsid w:val="00DC5B8F"/>
    <w:rsid w:val="00DF19BB"/>
    <w:rsid w:val="00DF3075"/>
    <w:rsid w:val="00E14522"/>
    <w:rsid w:val="00E257AB"/>
    <w:rsid w:val="00E26B05"/>
    <w:rsid w:val="00E325AA"/>
    <w:rsid w:val="00E47619"/>
    <w:rsid w:val="00E5600C"/>
    <w:rsid w:val="00E8229B"/>
    <w:rsid w:val="00E87120"/>
    <w:rsid w:val="00E93B38"/>
    <w:rsid w:val="00EB552D"/>
    <w:rsid w:val="00ED27D3"/>
    <w:rsid w:val="00EE2A15"/>
    <w:rsid w:val="00F07688"/>
    <w:rsid w:val="00F114C3"/>
    <w:rsid w:val="00F14084"/>
    <w:rsid w:val="00F24C8C"/>
    <w:rsid w:val="00F268A9"/>
    <w:rsid w:val="00F41979"/>
    <w:rsid w:val="00F43232"/>
    <w:rsid w:val="00F47E0A"/>
    <w:rsid w:val="00F542AF"/>
    <w:rsid w:val="00F8744A"/>
    <w:rsid w:val="00F876D7"/>
    <w:rsid w:val="00FA2AD4"/>
    <w:rsid w:val="00FA75B5"/>
    <w:rsid w:val="00FA7F4B"/>
    <w:rsid w:val="00FB3DF9"/>
    <w:rsid w:val="00FB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E04E6"/>
  <w15:docId w15:val="{7F9BE40D-8510-4005-9F3E-72BE38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97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542AF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06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8229B"/>
  </w:style>
  <w:style w:type="paragraph" w:styleId="Pieddepage">
    <w:name w:val="footer"/>
    <w:basedOn w:val="Normal"/>
    <w:link w:val="PieddepageCar"/>
    <w:uiPriority w:val="99"/>
    <w:semiHidden/>
    <w:unhideWhenUsed/>
    <w:rsid w:val="00E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8229B"/>
  </w:style>
  <w:style w:type="character" w:customStyle="1" w:styleId="A4">
    <w:name w:val="A4"/>
    <w:uiPriority w:val="99"/>
    <w:rsid w:val="00A970EB"/>
    <w:rPr>
      <w:color w:val="000000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unhideWhenUsed/>
    <w:rsid w:val="008D2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D25CE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C22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055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0004F-07C3-45BF-9A83-6DD8DD11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2020-04-23T09:20:00Z</dcterms:created>
  <dcterms:modified xsi:type="dcterms:W3CDTF">2020-04-23T09:20:00Z</dcterms:modified>
</cp:coreProperties>
</file>